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05866" w14:textId="77777777" w:rsidR="00BF0163" w:rsidRDefault="00641186" w:rsidP="00BF0163">
      <w:pPr>
        <w:jc w:val="center"/>
        <w:rPr>
          <w:b/>
          <w:sz w:val="28"/>
        </w:rPr>
      </w:pPr>
      <w:r>
        <w:rPr>
          <w:b/>
          <w:sz w:val="28"/>
        </w:rPr>
        <w:t>___________________________________________________________________</w:t>
      </w:r>
    </w:p>
    <w:p w14:paraId="658C3365" w14:textId="77777777" w:rsidR="00BF0163" w:rsidRPr="00641186" w:rsidRDefault="00BF0163" w:rsidP="00BF0163">
      <w:pPr>
        <w:spacing w:line="240" w:lineRule="auto"/>
        <w:contextualSpacing/>
        <w:jc w:val="center"/>
        <w:rPr>
          <w:b/>
          <w:color w:val="E36C0A" w:themeColor="accent6" w:themeShade="BF"/>
          <w:sz w:val="36"/>
        </w:rPr>
      </w:pPr>
      <w:r w:rsidRPr="00641186">
        <w:rPr>
          <w:b/>
          <w:color w:val="E36C0A" w:themeColor="accent6" w:themeShade="BF"/>
          <w:sz w:val="36"/>
        </w:rPr>
        <w:t>CALCULATION OF AMOUNT OWED FOR FINANCIAL ASSISTANCE ELIGIBLE INDIVIDUALS</w:t>
      </w:r>
    </w:p>
    <w:p w14:paraId="4E9C8A93" w14:textId="77777777" w:rsidR="00BF0163" w:rsidRPr="00BF0163" w:rsidRDefault="00BF0163" w:rsidP="00BF0163">
      <w:pPr>
        <w:spacing w:line="240" w:lineRule="auto"/>
        <w:contextualSpacing/>
        <w:rPr>
          <w:b/>
          <w:sz w:val="28"/>
        </w:rPr>
      </w:pPr>
      <w:r>
        <w:rPr>
          <w:b/>
          <w:sz w:val="28"/>
        </w:rPr>
        <w:t>___________________________________________________________________</w:t>
      </w:r>
    </w:p>
    <w:p w14:paraId="667CFDEB" w14:textId="77777777" w:rsidR="00BF0163" w:rsidRDefault="00BF0163">
      <w:r>
        <w:t xml:space="preserve"> </w:t>
      </w:r>
    </w:p>
    <w:p w14:paraId="64261C60" w14:textId="77777777" w:rsidR="00600AE1" w:rsidRDefault="00421245" w:rsidP="00600AE1">
      <w:r>
        <w:t>This hospital</w:t>
      </w:r>
      <w:r w:rsidR="00105A77">
        <w:t xml:space="preserve"> limits </w:t>
      </w:r>
      <w:r w:rsidR="00A172CF">
        <w:t>charges for emergency and other medically necessary care provided to patients eligible for financial assistance to Amounts Generally Billed (AGB) to insured individuals.</w:t>
      </w:r>
      <w:r w:rsidR="00105A77">
        <w:t xml:space="preserve">  The </w:t>
      </w:r>
      <w:r w:rsidR="00A172CF">
        <w:t xml:space="preserve">amounts generally </w:t>
      </w:r>
      <w:r w:rsidR="00600AE1">
        <w:t xml:space="preserve">billed </w:t>
      </w:r>
      <w:r w:rsidR="00105A77">
        <w:t xml:space="preserve">to insured individuals is determined by </w:t>
      </w:r>
      <w:r w:rsidR="00A172CF">
        <w:t xml:space="preserve">taking all accounts paid in full over a recent 12-month period, for </w:t>
      </w:r>
      <w:r w:rsidR="00105A77">
        <w:t>Medicare, Medicare Advantage</w:t>
      </w:r>
      <w:r w:rsidR="005704FE">
        <w:t xml:space="preserve"> and </w:t>
      </w:r>
      <w:r w:rsidR="00105A77">
        <w:t>contracted commercial insurance</w:t>
      </w:r>
      <w:r w:rsidR="00A172CF">
        <w:t>, and calculating the average discount given.</w:t>
      </w:r>
      <w:r w:rsidR="00FB71D6">
        <w:t xml:space="preserve">   </w:t>
      </w:r>
      <w:r w:rsidR="00600AE1">
        <w:t>Your financial responsibility is then calculated as follows:</w:t>
      </w:r>
    </w:p>
    <w:p w14:paraId="251B8052" w14:textId="77777777" w:rsidR="00600AE1" w:rsidRPr="008464A5" w:rsidRDefault="00600AE1" w:rsidP="00600AE1">
      <w:pPr>
        <w:jc w:val="center"/>
        <w:rPr>
          <w:b/>
          <w:i/>
          <w:color w:val="E36C0A" w:themeColor="accent6" w:themeShade="BF"/>
          <w:sz w:val="24"/>
        </w:rPr>
      </w:pPr>
      <w:r w:rsidRPr="008464A5">
        <w:rPr>
          <w:b/>
          <w:i/>
          <w:color w:val="E36C0A" w:themeColor="accent6" w:themeShade="BF"/>
          <w:sz w:val="24"/>
        </w:rPr>
        <w:t>Your Total Charges X Calculated Average Discount</w:t>
      </w:r>
      <w:r w:rsidR="00552E6B" w:rsidRPr="008464A5">
        <w:rPr>
          <w:b/>
          <w:i/>
          <w:color w:val="E36C0A" w:themeColor="accent6" w:themeShade="BF"/>
          <w:sz w:val="24"/>
        </w:rPr>
        <w:t xml:space="preserve"> Percentage</w:t>
      </w:r>
      <w:r w:rsidRPr="008464A5">
        <w:rPr>
          <w:b/>
          <w:i/>
          <w:color w:val="E36C0A" w:themeColor="accent6" w:themeShade="BF"/>
          <w:sz w:val="24"/>
        </w:rPr>
        <w:t xml:space="preserve"> = Your Financial Responsibility</w:t>
      </w:r>
    </w:p>
    <w:p w14:paraId="2B167D6B" w14:textId="77777777" w:rsidR="00600AE1" w:rsidRPr="00A14973" w:rsidRDefault="00600AE1" w:rsidP="00600AE1">
      <w:pPr>
        <w:rPr>
          <w:b/>
          <w:i/>
          <w:color w:val="E36C0A" w:themeColor="accent6" w:themeShade="BF"/>
        </w:rPr>
      </w:pPr>
      <w:r>
        <w:t xml:space="preserve">If you </w:t>
      </w:r>
      <w:r w:rsidR="00641186">
        <w:t xml:space="preserve">receive emergency or other medically necessary care and are eligible for assistance under our financial assistance policy, </w:t>
      </w:r>
      <w:r>
        <w:t>you will never be billed more than this amount.</w:t>
      </w:r>
      <w:r w:rsidR="00F5425D">
        <w:t xml:space="preserve">  </w:t>
      </w:r>
      <w:r w:rsidR="00F5425D" w:rsidRPr="00A14973">
        <w:rPr>
          <w:b/>
          <w:i/>
          <w:color w:val="E36C0A" w:themeColor="accent6" w:themeShade="BF"/>
        </w:rPr>
        <w:t xml:space="preserve">To </w:t>
      </w:r>
      <w:r w:rsidR="00A14973">
        <w:rPr>
          <w:b/>
          <w:i/>
          <w:color w:val="E36C0A" w:themeColor="accent6" w:themeShade="BF"/>
        </w:rPr>
        <w:t xml:space="preserve">request </w:t>
      </w:r>
      <w:r w:rsidR="00F5425D" w:rsidRPr="00A14973">
        <w:rPr>
          <w:b/>
          <w:i/>
          <w:color w:val="E36C0A" w:themeColor="accent6" w:themeShade="BF"/>
        </w:rPr>
        <w:t>the actual percentage discount applicable to your hospital of choice, please refer to the contact information provided on the cover page of the financial assistance document packet or the contact information</w:t>
      </w:r>
      <w:r w:rsidR="00A14973" w:rsidRPr="00A14973">
        <w:rPr>
          <w:b/>
          <w:i/>
          <w:color w:val="E36C0A" w:themeColor="accent6" w:themeShade="BF"/>
        </w:rPr>
        <w:t xml:space="preserve"> included on the financial assistance </w:t>
      </w:r>
      <w:r w:rsidR="00A14973">
        <w:rPr>
          <w:b/>
          <w:i/>
          <w:color w:val="E36C0A" w:themeColor="accent6" w:themeShade="BF"/>
        </w:rPr>
        <w:t xml:space="preserve">section </w:t>
      </w:r>
      <w:r w:rsidR="00A14973" w:rsidRPr="00A14973">
        <w:rPr>
          <w:b/>
          <w:i/>
          <w:color w:val="E36C0A" w:themeColor="accent6" w:themeShade="BF"/>
        </w:rPr>
        <w:t>of your hospital’s web page.</w:t>
      </w:r>
      <w:r w:rsidR="00F5425D" w:rsidRPr="00A14973">
        <w:rPr>
          <w:b/>
          <w:i/>
          <w:color w:val="E36C0A" w:themeColor="accent6" w:themeShade="BF"/>
        </w:rPr>
        <w:t xml:space="preserve"> </w:t>
      </w:r>
    </w:p>
    <w:p w14:paraId="18D62B1E" w14:textId="77777777" w:rsidR="00552E6B" w:rsidRDefault="00641186" w:rsidP="00600AE1">
      <w:r>
        <w:t>Per our financial assistance policy, t</w:t>
      </w:r>
      <w:r w:rsidR="00600AE1">
        <w:t xml:space="preserve">o qualify for a 100% reduction in your financial responsibility, you must </w:t>
      </w:r>
      <w:r w:rsidR="00552E6B">
        <w:t xml:space="preserve">have received emergency or other medical necessary care and </w:t>
      </w:r>
      <w:r w:rsidR="00600AE1">
        <w:t>have an annual household income that does not exceed 200% of the Federal Poverty Guideline</w:t>
      </w:r>
      <w:r w:rsidR="00552E6B">
        <w:t>, according to the table below.  An application and supporting documentation is required to qualify.</w:t>
      </w:r>
    </w:p>
    <w:p w14:paraId="6B40EF0B" w14:textId="77777777" w:rsidR="009541F8" w:rsidRDefault="009541F8" w:rsidP="00600AE1"/>
    <w:p w14:paraId="351F6E56" w14:textId="1BE9FAF6" w:rsidR="00F9138A" w:rsidRPr="00F9138A" w:rsidRDefault="00F9138A" w:rsidP="00F9138A">
      <w:pPr>
        <w:spacing w:after="160" w:line="259" w:lineRule="auto"/>
        <w:contextualSpacing/>
        <w:jc w:val="center"/>
        <w:rPr>
          <w:rFonts w:ascii="Calibri" w:eastAsia="Calibri" w:hAnsi="Calibri" w:cs="Times New Roman"/>
          <w:b/>
          <w:sz w:val="34"/>
          <w:szCs w:val="34"/>
        </w:rPr>
      </w:pPr>
      <w:r w:rsidRPr="00F9138A">
        <w:rPr>
          <w:rFonts w:ascii="Calibri" w:eastAsia="Calibri" w:hAnsi="Calibri" w:cs="Times New Roman"/>
          <w:b/>
          <w:sz w:val="34"/>
          <w:szCs w:val="34"/>
        </w:rPr>
        <w:t>20</w:t>
      </w:r>
      <w:r w:rsidR="005B0F32">
        <w:rPr>
          <w:rFonts w:ascii="Calibri" w:eastAsia="Calibri" w:hAnsi="Calibri" w:cs="Times New Roman"/>
          <w:b/>
          <w:sz w:val="34"/>
          <w:szCs w:val="34"/>
        </w:rPr>
        <w:t>2</w:t>
      </w:r>
      <w:r w:rsidR="00E06B3B">
        <w:rPr>
          <w:rFonts w:ascii="Calibri" w:eastAsia="Calibri" w:hAnsi="Calibri" w:cs="Times New Roman"/>
          <w:b/>
          <w:sz w:val="34"/>
          <w:szCs w:val="34"/>
        </w:rPr>
        <w:t>1</w:t>
      </w:r>
      <w:r w:rsidRPr="00F9138A">
        <w:rPr>
          <w:rFonts w:ascii="Calibri" w:eastAsia="Calibri" w:hAnsi="Calibri" w:cs="Times New Roman"/>
          <w:b/>
          <w:sz w:val="34"/>
          <w:szCs w:val="34"/>
        </w:rPr>
        <w:t xml:space="preserve"> POVERTY GUIDELINES</w:t>
      </w:r>
    </w:p>
    <w:p w14:paraId="11D89E1B" w14:textId="77777777" w:rsidR="00F9138A" w:rsidRPr="00F9138A" w:rsidRDefault="00F9138A" w:rsidP="00F9138A">
      <w:pPr>
        <w:spacing w:after="160" w:line="259" w:lineRule="auto"/>
        <w:contextualSpacing/>
        <w:jc w:val="center"/>
        <w:rPr>
          <w:rFonts w:ascii="Calibri" w:eastAsia="Calibri" w:hAnsi="Calibri" w:cs="Times New Roman"/>
          <w:sz w:val="20"/>
        </w:rPr>
      </w:pPr>
      <w:r w:rsidRPr="00F9138A">
        <w:rPr>
          <w:rFonts w:ascii="Calibri" w:eastAsia="Calibri" w:hAnsi="Calibri" w:cs="Times New Roman"/>
          <w:sz w:val="20"/>
        </w:rPr>
        <w:t>All States (EXCEPT ALASKA AND HAWAII) AND D.C.</w:t>
      </w:r>
    </w:p>
    <w:p w14:paraId="3E362283" w14:textId="77777777" w:rsidR="00F9138A" w:rsidRPr="00F9138A" w:rsidRDefault="00F9138A" w:rsidP="00F9138A">
      <w:pPr>
        <w:spacing w:after="160" w:line="259" w:lineRule="auto"/>
        <w:contextualSpacing/>
        <w:jc w:val="center"/>
        <w:rPr>
          <w:rFonts w:ascii="Calibri" w:eastAsia="Calibri" w:hAnsi="Calibri" w:cs="Times New Roman"/>
        </w:rPr>
      </w:pPr>
    </w:p>
    <w:p w14:paraId="3DD6D7FA" w14:textId="77777777" w:rsidR="004E1873" w:rsidRDefault="00F9138A" w:rsidP="00513E92">
      <w:pPr>
        <w:spacing w:after="160" w:line="259" w:lineRule="auto"/>
        <w:jc w:val="center"/>
        <w:rPr>
          <w:rFonts w:ascii="Calibri" w:eastAsia="Calibri" w:hAnsi="Calibri" w:cs="Times New Roman"/>
          <w:sz w:val="18"/>
        </w:rPr>
      </w:pPr>
      <w:r w:rsidRPr="00F9138A">
        <w:rPr>
          <w:rFonts w:ascii="Calibri" w:eastAsia="Calibri" w:hAnsi="Calibri" w:cs="Times New Roman"/>
        </w:rPr>
        <w:t>ANNUAL GUIDELINE</w:t>
      </w:r>
    </w:p>
    <w:p w14:paraId="104E32EA" w14:textId="03DB11E2" w:rsidR="005B0F32" w:rsidRDefault="00E06B3B" w:rsidP="00513E92">
      <w:pPr>
        <w:spacing w:after="160" w:line="259" w:lineRule="auto"/>
        <w:jc w:val="center"/>
        <w:rPr>
          <w:noProof/>
        </w:rPr>
      </w:pPr>
      <w:r w:rsidRPr="00E06B3B">
        <w:rPr>
          <w:noProof/>
        </w:rPr>
        <w:drawing>
          <wp:inline distT="0" distB="0" distL="0" distR="0" wp14:anchorId="7C5ED242" wp14:editId="7D77A77D">
            <wp:extent cx="5943600" cy="158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88770"/>
                    </a:xfrm>
                    <a:prstGeom prst="rect">
                      <a:avLst/>
                    </a:prstGeom>
                    <a:noFill/>
                    <a:ln>
                      <a:noFill/>
                    </a:ln>
                  </pic:spPr>
                </pic:pic>
              </a:graphicData>
            </a:graphic>
          </wp:inline>
        </w:drawing>
      </w:r>
    </w:p>
    <w:p w14:paraId="76286A3C" w14:textId="6DE2F6B0" w:rsidR="00552E6B" w:rsidRPr="00513E92" w:rsidRDefault="00F9138A" w:rsidP="00513E92">
      <w:pPr>
        <w:spacing w:after="160" w:line="259" w:lineRule="auto"/>
        <w:jc w:val="center"/>
        <w:rPr>
          <w:rFonts w:ascii="Calibri" w:eastAsia="Calibri" w:hAnsi="Calibri" w:cs="Times New Roman"/>
          <w:sz w:val="18"/>
        </w:rPr>
      </w:pPr>
      <w:r w:rsidRPr="00F9138A">
        <w:rPr>
          <w:rFonts w:ascii="Calibri" w:eastAsia="Calibri" w:hAnsi="Calibri" w:cs="Times New Roman"/>
          <w:sz w:val="18"/>
        </w:rPr>
        <w:t xml:space="preserve">For </w:t>
      </w:r>
      <w:r w:rsidR="00E06B3B">
        <w:rPr>
          <w:rFonts w:ascii="Calibri" w:eastAsia="Calibri" w:hAnsi="Calibri" w:cs="Times New Roman"/>
          <w:sz w:val="18"/>
        </w:rPr>
        <w:t>2</w:t>
      </w:r>
      <w:r w:rsidRPr="00F9138A">
        <w:rPr>
          <w:rFonts w:ascii="Calibri" w:eastAsia="Calibri" w:hAnsi="Calibri" w:cs="Times New Roman"/>
          <w:sz w:val="18"/>
        </w:rPr>
        <w:t>00% FPL, and family units greater than 8 members, add $</w:t>
      </w:r>
      <w:r w:rsidR="00E06B3B">
        <w:rPr>
          <w:rFonts w:ascii="Calibri" w:eastAsia="Calibri" w:hAnsi="Calibri" w:cs="Times New Roman"/>
          <w:sz w:val="18"/>
        </w:rPr>
        <w:t>9</w:t>
      </w:r>
      <w:r w:rsidRPr="00F9138A">
        <w:rPr>
          <w:rFonts w:ascii="Calibri" w:eastAsia="Calibri" w:hAnsi="Calibri" w:cs="Times New Roman"/>
          <w:sz w:val="18"/>
        </w:rPr>
        <w:t>,</w:t>
      </w:r>
      <w:r w:rsidR="00E06B3B">
        <w:rPr>
          <w:rFonts w:ascii="Calibri" w:eastAsia="Calibri" w:hAnsi="Calibri" w:cs="Times New Roman"/>
          <w:sz w:val="18"/>
        </w:rPr>
        <w:t>080</w:t>
      </w:r>
      <w:r w:rsidRPr="00F9138A">
        <w:rPr>
          <w:rFonts w:ascii="Calibri" w:eastAsia="Calibri" w:hAnsi="Calibri" w:cs="Times New Roman"/>
          <w:sz w:val="18"/>
        </w:rPr>
        <w:t xml:space="preserve"> for each additional family member</w:t>
      </w:r>
    </w:p>
    <w:sectPr w:rsidR="00552E6B" w:rsidRPr="00513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63"/>
    <w:rsid w:val="000931E0"/>
    <w:rsid w:val="00105A77"/>
    <w:rsid w:val="00174873"/>
    <w:rsid w:val="00415B2A"/>
    <w:rsid w:val="00421245"/>
    <w:rsid w:val="0046315F"/>
    <w:rsid w:val="004E1873"/>
    <w:rsid w:val="00513E92"/>
    <w:rsid w:val="00552E6B"/>
    <w:rsid w:val="00561FF6"/>
    <w:rsid w:val="005704FE"/>
    <w:rsid w:val="005B0F32"/>
    <w:rsid w:val="005C3972"/>
    <w:rsid w:val="00600AE1"/>
    <w:rsid w:val="00641186"/>
    <w:rsid w:val="007F12B9"/>
    <w:rsid w:val="00840154"/>
    <w:rsid w:val="008464A5"/>
    <w:rsid w:val="009541F8"/>
    <w:rsid w:val="00A14973"/>
    <w:rsid w:val="00A172CF"/>
    <w:rsid w:val="00B55D47"/>
    <w:rsid w:val="00BF0163"/>
    <w:rsid w:val="00C417B5"/>
    <w:rsid w:val="00D015E4"/>
    <w:rsid w:val="00D4078C"/>
    <w:rsid w:val="00E06B3B"/>
    <w:rsid w:val="00F5425D"/>
    <w:rsid w:val="00F9138A"/>
    <w:rsid w:val="00FB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A08C"/>
  <w15:docId w15:val="{4E0C835C-080B-4418-8EC4-06B1B052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9216">
      <w:bodyDiv w:val="1"/>
      <w:marLeft w:val="0"/>
      <w:marRight w:val="0"/>
      <w:marTop w:val="0"/>
      <w:marBottom w:val="0"/>
      <w:divBdr>
        <w:top w:val="none" w:sz="0" w:space="0" w:color="auto"/>
        <w:left w:val="none" w:sz="0" w:space="0" w:color="auto"/>
        <w:bottom w:val="none" w:sz="0" w:space="0" w:color="auto"/>
        <w:right w:val="none" w:sz="0" w:space="0" w:color="auto"/>
      </w:divBdr>
    </w:div>
    <w:div w:id="14332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Adventist Health System</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Ursin, Ken</dc:creator>
  <cp:lastModifiedBy>James Caudill</cp:lastModifiedBy>
  <cp:revision>2</cp:revision>
  <cp:lastPrinted>2014-04-03T19:42:00Z</cp:lastPrinted>
  <dcterms:created xsi:type="dcterms:W3CDTF">2021-02-15T17:46:00Z</dcterms:created>
  <dcterms:modified xsi:type="dcterms:W3CDTF">2021-02-15T17:46:00Z</dcterms:modified>
</cp:coreProperties>
</file>